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741" w:rsidRPr="009F76C1" w:rsidRDefault="007C2DD8" w:rsidP="007C2DD8">
      <w:pPr>
        <w:jc w:val="center"/>
        <w:rPr>
          <w:rFonts w:ascii="Arial" w:hAnsi="Arial" w:cs="Arial"/>
          <w:b/>
          <w:sz w:val="24"/>
          <w:szCs w:val="24"/>
          <w:lang w:val="es-MX"/>
        </w:rPr>
      </w:pPr>
      <w:r w:rsidRPr="009F76C1">
        <w:rPr>
          <w:rFonts w:ascii="Arial" w:hAnsi="Arial" w:cs="Arial"/>
          <w:b/>
          <w:sz w:val="24"/>
          <w:szCs w:val="24"/>
          <w:lang w:val="es-MX"/>
        </w:rPr>
        <w:t>PARALELO DE LO ESTABLECIDO EN EL ACUERDO 0165 DEL 12 DE MARZO DE 2020 DE LA CNSC FRENTE A LAS LISTAS DE ELEGIBLES DE CONCURSOS ABIERTOS Y DE ASCENSO</w:t>
      </w:r>
    </w:p>
    <w:tbl>
      <w:tblPr>
        <w:tblStyle w:val="Tablaconcuadrcula"/>
        <w:tblW w:w="0" w:type="auto"/>
        <w:tblLook w:val="04A0" w:firstRow="1" w:lastRow="0" w:firstColumn="1" w:lastColumn="0" w:noHBand="0" w:noVBand="1"/>
      </w:tblPr>
      <w:tblGrid>
        <w:gridCol w:w="4414"/>
        <w:gridCol w:w="4414"/>
      </w:tblGrid>
      <w:tr w:rsidR="000A1BC2" w:rsidRPr="009F76C1" w:rsidTr="000A1BC2">
        <w:tc>
          <w:tcPr>
            <w:tcW w:w="4414" w:type="dxa"/>
          </w:tcPr>
          <w:p w:rsidR="000A1BC2" w:rsidRPr="007C2DD8" w:rsidRDefault="000A1BC2" w:rsidP="003F2741">
            <w:pPr>
              <w:jc w:val="both"/>
              <w:rPr>
                <w:rFonts w:ascii="Arial" w:hAnsi="Arial" w:cs="Arial"/>
                <w:b/>
                <w:sz w:val="24"/>
                <w:szCs w:val="24"/>
                <w:lang w:val="es-MX"/>
              </w:rPr>
            </w:pPr>
            <w:r w:rsidRPr="007C2DD8">
              <w:rPr>
                <w:rFonts w:ascii="Arial" w:hAnsi="Arial" w:cs="Arial"/>
                <w:b/>
                <w:sz w:val="24"/>
                <w:szCs w:val="24"/>
                <w:lang w:val="es-MX"/>
              </w:rPr>
              <w:t>LISTA DE ELEGIBLES PARA CONCURSO ABIERTO</w:t>
            </w:r>
          </w:p>
        </w:tc>
        <w:tc>
          <w:tcPr>
            <w:tcW w:w="4414" w:type="dxa"/>
          </w:tcPr>
          <w:p w:rsidR="000A1BC2" w:rsidRPr="007C2DD8" w:rsidRDefault="000A1BC2" w:rsidP="003F2741">
            <w:pPr>
              <w:jc w:val="both"/>
              <w:rPr>
                <w:rFonts w:ascii="Arial" w:hAnsi="Arial" w:cs="Arial"/>
                <w:b/>
                <w:sz w:val="24"/>
                <w:szCs w:val="24"/>
                <w:lang w:val="es-MX"/>
              </w:rPr>
            </w:pPr>
            <w:r w:rsidRPr="007C2DD8">
              <w:rPr>
                <w:rFonts w:ascii="Arial" w:hAnsi="Arial" w:cs="Arial"/>
                <w:b/>
                <w:sz w:val="24"/>
                <w:szCs w:val="24"/>
                <w:lang w:val="es-MX"/>
              </w:rPr>
              <w:t>LISTA DE ELEGIBLES PARA CONCURSO DE ASCENSO</w:t>
            </w:r>
          </w:p>
        </w:tc>
      </w:tr>
      <w:tr w:rsidR="000A1BC2" w:rsidRPr="009F76C1" w:rsidTr="000A1BC2">
        <w:tc>
          <w:tcPr>
            <w:tcW w:w="4414" w:type="dxa"/>
          </w:tcPr>
          <w:p w:rsidR="000A1BC2" w:rsidRPr="009F76C1" w:rsidRDefault="000A1BC2" w:rsidP="003F2741">
            <w:pPr>
              <w:jc w:val="both"/>
              <w:rPr>
                <w:rFonts w:ascii="Arial" w:hAnsi="Arial" w:cs="Arial"/>
                <w:sz w:val="24"/>
                <w:szCs w:val="24"/>
                <w:lang w:val="es-MX"/>
              </w:rPr>
            </w:pPr>
            <w:r w:rsidRPr="009F76C1">
              <w:rPr>
                <w:rFonts w:ascii="Arial" w:hAnsi="Arial" w:cs="Arial"/>
                <w:sz w:val="24"/>
                <w:szCs w:val="24"/>
                <w:lang w:val="es-MX"/>
              </w:rPr>
              <w:t xml:space="preserve">Numeral 8 del articulo 2° </w:t>
            </w:r>
            <w:r w:rsidRPr="007C2DD8">
              <w:rPr>
                <w:rFonts w:ascii="Arial" w:hAnsi="Arial" w:cs="Arial"/>
                <w:b/>
                <w:sz w:val="24"/>
                <w:szCs w:val="24"/>
                <w:lang w:val="es-MX"/>
              </w:rPr>
              <w:t>Lista unificada del mismo empleo</w:t>
            </w:r>
            <w:r w:rsidR="006D368A" w:rsidRPr="007C2DD8">
              <w:rPr>
                <w:rFonts w:ascii="Arial" w:hAnsi="Arial" w:cs="Arial"/>
                <w:b/>
                <w:sz w:val="24"/>
                <w:szCs w:val="24"/>
                <w:lang w:val="es-MX"/>
              </w:rPr>
              <w:t>:</w:t>
            </w:r>
            <w:r w:rsidR="006D368A" w:rsidRPr="009F76C1">
              <w:rPr>
                <w:rFonts w:ascii="Arial" w:hAnsi="Arial" w:cs="Arial"/>
                <w:sz w:val="24"/>
                <w:szCs w:val="24"/>
                <w:lang w:val="es-MX"/>
              </w:rPr>
              <w:t xml:space="preserve"> </w:t>
            </w:r>
            <w:r w:rsidR="006D368A" w:rsidRPr="009F76C1">
              <w:rPr>
                <w:rFonts w:ascii="Arial" w:hAnsi="Arial" w:cs="Arial"/>
                <w:sz w:val="24"/>
                <w:szCs w:val="24"/>
              </w:rPr>
              <w:t>Es la que se adopta una vez provistas efectivamente las vacantes convocadas de un empleo en un proceso de selección mixto. Se realiza mediante la agrupación en una lista y en estricto orden de mérito con los elegibles aun no nombrados y que se encuentran en las listas de un mismo empleo que oferto las vacantes a través de proceso de selección de ascenso y abierto. Con los elegibles en esta lista se cubrirán las vacantes ofertadas en el proceso abierto cuando la lista de elegibles sea insuficiente, así como las nuevas vacantes que se generen durante su vigencia.</w:t>
            </w:r>
          </w:p>
        </w:tc>
        <w:tc>
          <w:tcPr>
            <w:tcW w:w="4414" w:type="dxa"/>
          </w:tcPr>
          <w:p w:rsidR="000A1BC2" w:rsidRPr="007C2DD8" w:rsidRDefault="006D368A" w:rsidP="003F2741">
            <w:pPr>
              <w:jc w:val="both"/>
              <w:rPr>
                <w:rFonts w:ascii="Arial" w:hAnsi="Arial" w:cs="Arial"/>
                <w:b/>
                <w:sz w:val="24"/>
                <w:szCs w:val="24"/>
                <w:lang w:val="es-MX"/>
              </w:rPr>
            </w:pPr>
            <w:r w:rsidRPr="007C2DD8">
              <w:rPr>
                <w:rFonts w:ascii="Arial" w:hAnsi="Arial" w:cs="Arial"/>
                <w:b/>
                <w:sz w:val="24"/>
                <w:szCs w:val="24"/>
                <w:lang w:val="es-MX"/>
              </w:rPr>
              <w:t>No pueden conformar lista unificada del mismo empleo</w:t>
            </w:r>
          </w:p>
        </w:tc>
      </w:tr>
      <w:tr w:rsidR="000A1BC2" w:rsidRPr="009F76C1" w:rsidTr="000A1BC2">
        <w:tc>
          <w:tcPr>
            <w:tcW w:w="4414" w:type="dxa"/>
          </w:tcPr>
          <w:p w:rsidR="000A1BC2" w:rsidRPr="009F76C1" w:rsidRDefault="006D368A" w:rsidP="003F2741">
            <w:pPr>
              <w:jc w:val="both"/>
              <w:rPr>
                <w:rFonts w:ascii="Arial" w:hAnsi="Arial" w:cs="Arial"/>
                <w:sz w:val="24"/>
                <w:szCs w:val="24"/>
                <w:lang w:val="es-MX"/>
              </w:rPr>
            </w:pPr>
            <w:r w:rsidRPr="009F76C1">
              <w:rPr>
                <w:rFonts w:ascii="Arial" w:hAnsi="Arial" w:cs="Arial"/>
                <w:sz w:val="24"/>
                <w:szCs w:val="24"/>
                <w:lang w:val="es-MX"/>
              </w:rPr>
              <w:t xml:space="preserve">Numeral 9 del articulo 2° </w:t>
            </w:r>
            <w:r w:rsidRPr="007C2DD8">
              <w:rPr>
                <w:rFonts w:ascii="Arial" w:hAnsi="Arial" w:cs="Arial"/>
                <w:b/>
                <w:sz w:val="24"/>
                <w:szCs w:val="24"/>
                <w:lang w:val="es-MX"/>
              </w:rPr>
              <w:t>Lista general de elegibles para empleo equivalente:</w:t>
            </w:r>
            <w:r w:rsidRPr="009F76C1">
              <w:rPr>
                <w:rFonts w:ascii="Arial" w:hAnsi="Arial" w:cs="Arial"/>
                <w:sz w:val="24"/>
                <w:szCs w:val="24"/>
                <w:lang w:val="es-MX"/>
              </w:rPr>
              <w:t xml:space="preserve"> </w:t>
            </w:r>
            <w:r w:rsidRPr="009F76C1">
              <w:rPr>
                <w:rFonts w:ascii="Arial" w:hAnsi="Arial" w:cs="Arial"/>
                <w:sz w:val="24"/>
                <w:szCs w:val="24"/>
              </w:rPr>
              <w:t>Es el acto administrativo en el cual se agrupan en estricto orden de mérito a los elegibles de empleos equivalentes, para cubrir las vacantes definitivas de estos empleos, sea que se trate de vacantes declaradas desiertas o que surjan con posterioridad a la convocatoria de concurso mixto en la misma Entidad, en los términos establecidos en la Ley 1960 de 2019.</w:t>
            </w:r>
          </w:p>
        </w:tc>
        <w:tc>
          <w:tcPr>
            <w:tcW w:w="4414" w:type="dxa"/>
          </w:tcPr>
          <w:p w:rsidR="000A1BC2" w:rsidRPr="007C2DD8" w:rsidRDefault="006D368A" w:rsidP="003F2741">
            <w:pPr>
              <w:jc w:val="both"/>
              <w:rPr>
                <w:rFonts w:ascii="Arial" w:hAnsi="Arial" w:cs="Arial"/>
                <w:b/>
                <w:sz w:val="24"/>
                <w:szCs w:val="24"/>
                <w:lang w:val="es-MX"/>
              </w:rPr>
            </w:pPr>
            <w:r w:rsidRPr="007C2DD8">
              <w:rPr>
                <w:rFonts w:ascii="Arial" w:hAnsi="Arial" w:cs="Arial"/>
                <w:b/>
                <w:sz w:val="24"/>
                <w:szCs w:val="24"/>
                <w:lang w:val="es-MX"/>
              </w:rPr>
              <w:t xml:space="preserve">No pueden conformar una lista general para empleo equivalente </w:t>
            </w:r>
          </w:p>
        </w:tc>
      </w:tr>
      <w:tr w:rsidR="000A1BC2" w:rsidRPr="009F76C1" w:rsidTr="000A1BC2">
        <w:tc>
          <w:tcPr>
            <w:tcW w:w="4414" w:type="dxa"/>
          </w:tcPr>
          <w:p w:rsidR="000A1BC2" w:rsidRPr="009F76C1" w:rsidRDefault="006D368A" w:rsidP="003F2741">
            <w:pPr>
              <w:jc w:val="both"/>
              <w:rPr>
                <w:rFonts w:ascii="Arial" w:hAnsi="Arial" w:cs="Arial"/>
                <w:sz w:val="24"/>
                <w:szCs w:val="24"/>
              </w:rPr>
            </w:pPr>
            <w:r w:rsidRPr="009F76C1">
              <w:rPr>
                <w:rFonts w:ascii="Arial" w:hAnsi="Arial" w:cs="Arial"/>
                <w:sz w:val="24"/>
                <w:szCs w:val="24"/>
                <w:lang w:val="es-MX"/>
              </w:rPr>
              <w:t xml:space="preserve">Numeral 10 del artículo 2° </w:t>
            </w:r>
            <w:r w:rsidRPr="007C2DD8">
              <w:rPr>
                <w:rFonts w:ascii="Arial" w:hAnsi="Arial" w:cs="Arial"/>
                <w:b/>
                <w:sz w:val="24"/>
                <w:szCs w:val="24"/>
              </w:rPr>
              <w:t>Firmeza de la posición en la Lista de Elegibles:</w:t>
            </w:r>
            <w:r w:rsidRPr="009F76C1">
              <w:rPr>
                <w:rFonts w:ascii="Arial" w:hAnsi="Arial" w:cs="Arial"/>
                <w:sz w:val="24"/>
                <w:szCs w:val="24"/>
              </w:rPr>
              <w:t xml:space="preserve"> Se configura cuando se otorga efectos jurídicos particulares a los elegibles que no se encuentren inmersos en alguna de las causales o situaciones previstas en los artículos 14 y 15 del Decreto Ley 760 de 2005, o las normas que los modifiquen o sustituyan.</w:t>
            </w:r>
          </w:p>
          <w:p w:rsidR="006D368A" w:rsidRPr="009F76C1" w:rsidRDefault="006D368A" w:rsidP="003F2741">
            <w:pPr>
              <w:jc w:val="both"/>
              <w:rPr>
                <w:rFonts w:ascii="Arial" w:hAnsi="Arial" w:cs="Arial"/>
                <w:sz w:val="24"/>
                <w:szCs w:val="24"/>
                <w:lang w:val="es-MX"/>
              </w:rPr>
            </w:pPr>
            <w:r w:rsidRPr="009F76C1">
              <w:rPr>
                <w:rFonts w:ascii="Arial" w:hAnsi="Arial" w:cs="Arial"/>
                <w:sz w:val="24"/>
                <w:szCs w:val="24"/>
              </w:rPr>
              <w:t xml:space="preserve">Los elegibles cuya posición en la lista adquiera firmeza individual, tienen </w:t>
            </w:r>
            <w:r w:rsidRPr="009F76C1">
              <w:rPr>
                <w:rFonts w:ascii="Arial" w:hAnsi="Arial" w:cs="Arial"/>
                <w:sz w:val="24"/>
                <w:szCs w:val="24"/>
              </w:rPr>
              <w:lastRenderedPageBreak/>
              <w:t>derecho a ser nombrados en las vacantes convocadas o en nuevas vacantes del mismo empleo o de empleos equivalentes</w:t>
            </w:r>
          </w:p>
        </w:tc>
        <w:tc>
          <w:tcPr>
            <w:tcW w:w="4414" w:type="dxa"/>
          </w:tcPr>
          <w:p w:rsidR="000A1BC2" w:rsidRPr="009F76C1" w:rsidRDefault="006D368A" w:rsidP="003F2741">
            <w:pPr>
              <w:jc w:val="both"/>
              <w:rPr>
                <w:rFonts w:ascii="Arial" w:hAnsi="Arial" w:cs="Arial"/>
                <w:sz w:val="24"/>
                <w:szCs w:val="24"/>
                <w:lang w:val="es-MX"/>
              </w:rPr>
            </w:pPr>
            <w:r w:rsidRPr="009F76C1">
              <w:rPr>
                <w:rFonts w:ascii="Arial" w:hAnsi="Arial" w:cs="Arial"/>
                <w:sz w:val="24"/>
                <w:szCs w:val="24"/>
                <w:lang w:val="es-MX"/>
              </w:rPr>
              <w:lastRenderedPageBreak/>
              <w:t xml:space="preserve">Numeral 10 del artículo 2° </w:t>
            </w:r>
            <w:r w:rsidRPr="007C2DD8">
              <w:rPr>
                <w:rFonts w:ascii="Arial" w:hAnsi="Arial" w:cs="Arial"/>
                <w:b/>
                <w:sz w:val="24"/>
                <w:szCs w:val="24"/>
              </w:rPr>
              <w:t>Firmeza de la posición en la Lista de Elegibles:</w:t>
            </w:r>
            <w:r w:rsidRPr="009F76C1">
              <w:rPr>
                <w:rFonts w:ascii="Arial" w:hAnsi="Arial" w:cs="Arial"/>
                <w:sz w:val="24"/>
                <w:szCs w:val="24"/>
              </w:rPr>
              <w:t xml:space="preserve"> Los elegibles tienen derecho a ser nombrados solo en las vacantes ofertadas en el mismo concurso.</w:t>
            </w:r>
          </w:p>
        </w:tc>
      </w:tr>
      <w:tr w:rsidR="000A1BC2" w:rsidRPr="009F76C1" w:rsidTr="000A1BC2">
        <w:tc>
          <w:tcPr>
            <w:tcW w:w="4414" w:type="dxa"/>
          </w:tcPr>
          <w:p w:rsidR="000A1BC2" w:rsidRPr="009F76C1" w:rsidRDefault="006D368A" w:rsidP="003F2741">
            <w:pPr>
              <w:jc w:val="both"/>
              <w:rPr>
                <w:rFonts w:ascii="Arial" w:hAnsi="Arial" w:cs="Arial"/>
                <w:sz w:val="24"/>
                <w:szCs w:val="24"/>
                <w:lang w:val="es-MX"/>
              </w:rPr>
            </w:pPr>
            <w:r w:rsidRPr="009F76C1">
              <w:rPr>
                <w:rFonts w:ascii="Arial" w:hAnsi="Arial" w:cs="Arial"/>
                <w:sz w:val="24"/>
                <w:szCs w:val="24"/>
                <w:lang w:val="es-MX"/>
              </w:rPr>
              <w:t xml:space="preserve">Numeral 12 del artículo 2° </w:t>
            </w:r>
            <w:r w:rsidRPr="007C2DD8">
              <w:rPr>
                <w:rFonts w:ascii="Arial" w:hAnsi="Arial" w:cs="Arial"/>
                <w:b/>
                <w:sz w:val="24"/>
                <w:szCs w:val="24"/>
              </w:rPr>
              <w:t>Vigencia de la Lista de Elegibles:</w:t>
            </w:r>
            <w:r w:rsidRPr="009F76C1">
              <w:rPr>
                <w:rFonts w:ascii="Arial" w:hAnsi="Arial" w:cs="Arial"/>
                <w:sz w:val="24"/>
                <w:szCs w:val="24"/>
              </w:rPr>
              <w:t xml:space="preserve"> Para los procesos de </w:t>
            </w:r>
            <w:r w:rsidR="009F76C1" w:rsidRPr="009F76C1">
              <w:rPr>
                <w:rFonts w:ascii="Arial" w:hAnsi="Arial" w:cs="Arial"/>
                <w:sz w:val="24"/>
                <w:szCs w:val="24"/>
              </w:rPr>
              <w:t>selección</w:t>
            </w:r>
            <w:r w:rsidRPr="009F76C1">
              <w:rPr>
                <w:rFonts w:ascii="Arial" w:hAnsi="Arial" w:cs="Arial"/>
                <w:sz w:val="24"/>
                <w:szCs w:val="24"/>
              </w:rPr>
              <w:t xml:space="preserve"> aprobados a partir de la </w:t>
            </w:r>
            <w:r w:rsidR="009F76C1" w:rsidRPr="009F76C1">
              <w:rPr>
                <w:rFonts w:ascii="Arial" w:hAnsi="Arial" w:cs="Arial"/>
                <w:sz w:val="24"/>
                <w:szCs w:val="24"/>
              </w:rPr>
              <w:t>expedición</w:t>
            </w:r>
            <w:r w:rsidRPr="009F76C1">
              <w:rPr>
                <w:rFonts w:ascii="Arial" w:hAnsi="Arial" w:cs="Arial"/>
                <w:sz w:val="24"/>
                <w:szCs w:val="24"/>
              </w:rPr>
              <w:t xml:space="preserve"> de este Acuerdo, el termino de vigencia de la lista previsto en la Ley </w:t>
            </w:r>
            <w:r w:rsidR="009F76C1" w:rsidRPr="009F76C1">
              <w:rPr>
                <w:rFonts w:ascii="Arial" w:hAnsi="Arial" w:cs="Arial"/>
                <w:sz w:val="24"/>
                <w:szCs w:val="24"/>
              </w:rPr>
              <w:t>según</w:t>
            </w:r>
            <w:r w:rsidRPr="009F76C1">
              <w:rPr>
                <w:rFonts w:ascii="Arial" w:hAnsi="Arial" w:cs="Arial"/>
                <w:sz w:val="24"/>
                <w:szCs w:val="24"/>
              </w:rPr>
              <w:t xml:space="preserve"> corresponda, se </w:t>
            </w:r>
            <w:r w:rsidR="009F76C1" w:rsidRPr="009F76C1">
              <w:rPr>
                <w:rFonts w:ascii="Arial" w:hAnsi="Arial" w:cs="Arial"/>
                <w:sz w:val="24"/>
                <w:szCs w:val="24"/>
              </w:rPr>
              <w:t>contará</w:t>
            </w:r>
            <w:r w:rsidRPr="009F76C1">
              <w:rPr>
                <w:rFonts w:ascii="Arial" w:hAnsi="Arial" w:cs="Arial"/>
                <w:sz w:val="24"/>
                <w:szCs w:val="24"/>
              </w:rPr>
              <w:t xml:space="preserve"> a partir de la fecha en la que todas las posiciones que conforman dicha lista adquieran firmeza.</w:t>
            </w:r>
          </w:p>
        </w:tc>
        <w:tc>
          <w:tcPr>
            <w:tcW w:w="4414" w:type="dxa"/>
          </w:tcPr>
          <w:p w:rsidR="000A1BC2" w:rsidRPr="009F76C1" w:rsidRDefault="006D368A" w:rsidP="003F2741">
            <w:pPr>
              <w:jc w:val="both"/>
              <w:rPr>
                <w:rFonts w:ascii="Arial" w:hAnsi="Arial" w:cs="Arial"/>
                <w:sz w:val="24"/>
                <w:szCs w:val="24"/>
                <w:lang w:val="es-MX"/>
              </w:rPr>
            </w:pPr>
            <w:r w:rsidRPr="007C2DD8">
              <w:rPr>
                <w:rFonts w:ascii="Arial" w:hAnsi="Arial" w:cs="Arial"/>
                <w:b/>
                <w:sz w:val="24"/>
                <w:szCs w:val="24"/>
                <w:lang w:val="es-MX"/>
              </w:rPr>
              <w:t xml:space="preserve">No procede con base en el Numeral 15 del </w:t>
            </w:r>
            <w:r w:rsidR="009F76C1" w:rsidRPr="007C2DD8">
              <w:rPr>
                <w:rFonts w:ascii="Arial" w:hAnsi="Arial" w:cs="Arial"/>
                <w:b/>
                <w:sz w:val="24"/>
                <w:szCs w:val="24"/>
                <w:lang w:val="es-MX"/>
              </w:rPr>
              <w:t>artículo</w:t>
            </w:r>
            <w:r w:rsidRPr="007C2DD8">
              <w:rPr>
                <w:rFonts w:ascii="Arial" w:hAnsi="Arial" w:cs="Arial"/>
                <w:b/>
                <w:sz w:val="24"/>
                <w:szCs w:val="24"/>
                <w:lang w:val="es-MX"/>
              </w:rPr>
              <w:t xml:space="preserve"> 2</w:t>
            </w:r>
            <w:r w:rsidR="009F76C1" w:rsidRPr="007C2DD8">
              <w:rPr>
                <w:rFonts w:ascii="Arial" w:hAnsi="Arial" w:cs="Arial"/>
                <w:b/>
                <w:sz w:val="24"/>
                <w:szCs w:val="24"/>
                <w:lang w:val="es-MX"/>
              </w:rPr>
              <w:t>:</w:t>
            </w:r>
            <w:r w:rsidRPr="007C2DD8">
              <w:rPr>
                <w:rFonts w:ascii="Arial" w:hAnsi="Arial" w:cs="Arial"/>
                <w:b/>
                <w:sz w:val="24"/>
                <w:szCs w:val="24"/>
                <w:lang w:val="es-MX"/>
              </w:rPr>
              <w:t xml:space="preserve"> </w:t>
            </w:r>
            <w:r w:rsidRPr="007C2DD8">
              <w:rPr>
                <w:rFonts w:ascii="Arial" w:hAnsi="Arial" w:cs="Arial"/>
                <w:b/>
                <w:sz w:val="24"/>
                <w:szCs w:val="24"/>
              </w:rPr>
              <w:t>Lista de Elegibles agotada para concursos de ascenso</w:t>
            </w:r>
          </w:p>
        </w:tc>
      </w:tr>
      <w:tr w:rsidR="000A1BC2" w:rsidRPr="009F76C1" w:rsidTr="000A1BC2">
        <w:tc>
          <w:tcPr>
            <w:tcW w:w="4414" w:type="dxa"/>
          </w:tcPr>
          <w:p w:rsidR="000A1BC2" w:rsidRPr="009F76C1" w:rsidRDefault="009F76C1" w:rsidP="003F2741">
            <w:pPr>
              <w:jc w:val="both"/>
              <w:rPr>
                <w:rFonts w:ascii="Arial" w:hAnsi="Arial" w:cs="Arial"/>
                <w:sz w:val="24"/>
                <w:szCs w:val="24"/>
                <w:lang w:val="es-MX"/>
              </w:rPr>
            </w:pPr>
            <w:r w:rsidRPr="009F76C1">
              <w:rPr>
                <w:rFonts w:ascii="Arial" w:hAnsi="Arial" w:cs="Arial"/>
                <w:sz w:val="24"/>
                <w:szCs w:val="24"/>
                <w:lang w:val="es-MX"/>
              </w:rPr>
              <w:t xml:space="preserve">Numeral 13 del artículo 2° </w:t>
            </w:r>
            <w:r w:rsidRPr="007C2DD8">
              <w:rPr>
                <w:rFonts w:ascii="Arial" w:hAnsi="Arial" w:cs="Arial"/>
                <w:b/>
                <w:sz w:val="24"/>
                <w:szCs w:val="24"/>
              </w:rPr>
              <w:t>Lista de Elegibles agotada:</w:t>
            </w:r>
            <w:r w:rsidRPr="009F76C1">
              <w:rPr>
                <w:rFonts w:ascii="Arial" w:hAnsi="Arial" w:cs="Arial"/>
                <w:sz w:val="24"/>
                <w:szCs w:val="24"/>
              </w:rPr>
              <w:t xml:space="preserve"> Es la lista en la cual ha sido autorizado el uso de la totalidad de elegibles de la misma.</w:t>
            </w:r>
          </w:p>
        </w:tc>
        <w:tc>
          <w:tcPr>
            <w:tcW w:w="4414" w:type="dxa"/>
          </w:tcPr>
          <w:p w:rsidR="000A1BC2" w:rsidRPr="009F76C1" w:rsidRDefault="009F76C1" w:rsidP="003F2741">
            <w:pPr>
              <w:jc w:val="both"/>
              <w:rPr>
                <w:rFonts w:ascii="Arial" w:hAnsi="Arial" w:cs="Arial"/>
                <w:sz w:val="24"/>
                <w:szCs w:val="24"/>
                <w:lang w:val="es-MX"/>
              </w:rPr>
            </w:pPr>
            <w:r w:rsidRPr="009F76C1">
              <w:rPr>
                <w:rFonts w:ascii="Arial" w:hAnsi="Arial" w:cs="Arial"/>
                <w:sz w:val="24"/>
                <w:szCs w:val="24"/>
                <w:lang w:val="es-MX"/>
              </w:rPr>
              <w:t xml:space="preserve">Numeral 15 del artículo 2: </w:t>
            </w:r>
            <w:r w:rsidRPr="007C2DD8">
              <w:rPr>
                <w:rFonts w:ascii="Arial" w:hAnsi="Arial" w:cs="Arial"/>
                <w:b/>
                <w:sz w:val="24"/>
                <w:szCs w:val="24"/>
              </w:rPr>
              <w:t>Lista de Elegibles agotada para concursos de ascenso:</w:t>
            </w:r>
            <w:r w:rsidRPr="009F76C1">
              <w:rPr>
                <w:rFonts w:ascii="Arial" w:hAnsi="Arial" w:cs="Arial"/>
                <w:sz w:val="24"/>
                <w:szCs w:val="24"/>
              </w:rPr>
              <w:t xml:space="preserve"> Es la lista que después de la provisión efectiva del empleo para la cual se conformó, no podrá ser utilizada para la provisión de nuevas vacantes.</w:t>
            </w:r>
          </w:p>
        </w:tc>
      </w:tr>
      <w:tr w:rsidR="000A1BC2" w:rsidRPr="009F76C1" w:rsidTr="000A1BC2">
        <w:tc>
          <w:tcPr>
            <w:tcW w:w="4414" w:type="dxa"/>
          </w:tcPr>
          <w:p w:rsidR="009F76C1" w:rsidRPr="009F76C1" w:rsidRDefault="009F76C1" w:rsidP="003F2741">
            <w:pPr>
              <w:jc w:val="both"/>
              <w:rPr>
                <w:rFonts w:ascii="Arial" w:hAnsi="Arial" w:cs="Arial"/>
                <w:sz w:val="24"/>
                <w:szCs w:val="24"/>
              </w:rPr>
            </w:pPr>
            <w:r w:rsidRPr="007C2DD8">
              <w:rPr>
                <w:rFonts w:ascii="Arial" w:hAnsi="Arial" w:cs="Arial"/>
                <w:b/>
                <w:sz w:val="24"/>
                <w:szCs w:val="24"/>
              </w:rPr>
              <w:t>PARAGRAFO</w:t>
            </w:r>
            <w:r w:rsidRPr="009F76C1">
              <w:rPr>
                <w:rFonts w:ascii="Arial" w:hAnsi="Arial" w:cs="Arial"/>
                <w:sz w:val="24"/>
                <w:szCs w:val="24"/>
              </w:rPr>
              <w:t xml:space="preserve"> del Capítulo 2 Articulo 8 </w:t>
            </w:r>
          </w:p>
          <w:p w:rsidR="000A1BC2" w:rsidRPr="009F76C1" w:rsidRDefault="009F76C1" w:rsidP="003F2741">
            <w:pPr>
              <w:jc w:val="both"/>
              <w:rPr>
                <w:rFonts w:ascii="Arial" w:hAnsi="Arial" w:cs="Arial"/>
                <w:sz w:val="24"/>
                <w:szCs w:val="24"/>
                <w:lang w:val="es-MX"/>
              </w:rPr>
            </w:pPr>
            <w:r w:rsidRPr="009F76C1">
              <w:rPr>
                <w:rFonts w:ascii="Arial" w:hAnsi="Arial" w:cs="Arial"/>
                <w:sz w:val="24"/>
                <w:szCs w:val="24"/>
              </w:rPr>
              <w:t xml:space="preserve">(Modificado por el Acuerdo 13 de 2021 de la CNSC): </w:t>
            </w:r>
            <w:r w:rsidRPr="007C2DD8">
              <w:rPr>
                <w:rFonts w:ascii="Arial" w:hAnsi="Arial" w:cs="Arial"/>
                <w:b/>
                <w:sz w:val="24"/>
                <w:szCs w:val="24"/>
              </w:rPr>
              <w:t>Las Listas de Elegibles también podrán ser utilizadas para la provisión de los empleos temporales de que trata la Ley 909 de 2004</w:t>
            </w:r>
            <w:r w:rsidRPr="009F76C1">
              <w:rPr>
                <w:rFonts w:ascii="Arial" w:hAnsi="Arial" w:cs="Arial"/>
                <w:sz w:val="24"/>
                <w:szCs w:val="24"/>
              </w:rPr>
              <w:t>, para lo cual los nominadores deberán solicitarlas a la CNSC teniendo en cuenta las listas que hagan parte del BNLE y que correspondan a un empleo de la misma denominación, código y asignación básica del empleo a proveer.</w:t>
            </w:r>
          </w:p>
        </w:tc>
        <w:tc>
          <w:tcPr>
            <w:tcW w:w="4414" w:type="dxa"/>
          </w:tcPr>
          <w:p w:rsidR="000A1BC2" w:rsidRPr="007C2DD8" w:rsidRDefault="009F76C1" w:rsidP="003F2741">
            <w:pPr>
              <w:jc w:val="both"/>
              <w:rPr>
                <w:rFonts w:ascii="Arial" w:hAnsi="Arial" w:cs="Arial"/>
                <w:b/>
                <w:sz w:val="24"/>
                <w:szCs w:val="24"/>
                <w:lang w:val="es-MX"/>
              </w:rPr>
            </w:pPr>
            <w:r w:rsidRPr="007C2DD8">
              <w:rPr>
                <w:rFonts w:ascii="Arial" w:hAnsi="Arial" w:cs="Arial"/>
                <w:b/>
                <w:sz w:val="24"/>
                <w:szCs w:val="24"/>
                <w:lang w:val="es-MX"/>
              </w:rPr>
              <w:t>No procede con base en que no conforma lista de elegibles</w:t>
            </w:r>
          </w:p>
        </w:tc>
      </w:tr>
    </w:tbl>
    <w:p w:rsidR="000A1BC2" w:rsidRPr="009F76C1" w:rsidRDefault="000A1BC2" w:rsidP="003F2741">
      <w:pPr>
        <w:jc w:val="both"/>
        <w:rPr>
          <w:rFonts w:ascii="Arial" w:hAnsi="Arial" w:cs="Arial"/>
          <w:sz w:val="24"/>
          <w:szCs w:val="24"/>
          <w:lang w:val="es-MX"/>
        </w:rPr>
      </w:pPr>
    </w:p>
    <w:p w:rsidR="00A84C50" w:rsidRPr="009F76C1" w:rsidRDefault="007C2DD8" w:rsidP="003F2741">
      <w:pPr>
        <w:jc w:val="both"/>
        <w:rPr>
          <w:rFonts w:ascii="Arial" w:hAnsi="Arial" w:cs="Arial"/>
          <w:sz w:val="24"/>
          <w:szCs w:val="24"/>
          <w:lang w:val="es-MX"/>
        </w:rPr>
      </w:pPr>
      <w:r>
        <w:rPr>
          <w:rFonts w:ascii="Arial" w:hAnsi="Arial" w:cs="Arial"/>
          <w:sz w:val="24"/>
          <w:szCs w:val="24"/>
          <w:lang w:val="es-MX"/>
        </w:rPr>
        <w:t xml:space="preserve">Con base en el paralelo establecido en </w:t>
      </w:r>
      <w:r w:rsidR="00DA613F">
        <w:rPr>
          <w:rFonts w:ascii="Arial" w:hAnsi="Arial" w:cs="Arial"/>
          <w:sz w:val="24"/>
          <w:szCs w:val="24"/>
          <w:lang w:val="es-MX"/>
        </w:rPr>
        <w:t xml:space="preserve">el </w:t>
      </w:r>
      <w:r>
        <w:rPr>
          <w:rFonts w:ascii="Arial" w:hAnsi="Arial" w:cs="Arial"/>
          <w:sz w:val="24"/>
          <w:szCs w:val="24"/>
          <w:lang w:val="es-MX"/>
        </w:rPr>
        <w:t>cuadro anterior se determina que e</w:t>
      </w:r>
      <w:r w:rsidR="003F2741" w:rsidRPr="009F76C1">
        <w:rPr>
          <w:rFonts w:ascii="Arial" w:hAnsi="Arial" w:cs="Arial"/>
          <w:sz w:val="24"/>
          <w:szCs w:val="24"/>
          <w:lang w:val="es-MX"/>
        </w:rPr>
        <w:t>l Acuerdo 0165 del 12 de marzo de 2020 de la CNSC, va en contravía de la progresión profesional de la función pública</w:t>
      </w:r>
      <w:r>
        <w:rPr>
          <w:rFonts w:ascii="Arial" w:hAnsi="Arial" w:cs="Arial"/>
          <w:sz w:val="24"/>
          <w:szCs w:val="24"/>
          <w:lang w:val="es-MX"/>
        </w:rPr>
        <w:t xml:space="preserve"> establecido en Ley 1960 de 2019 y en la Ley 909 de 2004</w:t>
      </w:r>
      <w:r w:rsidR="003F2741" w:rsidRPr="009F76C1">
        <w:rPr>
          <w:rFonts w:ascii="Arial" w:hAnsi="Arial" w:cs="Arial"/>
          <w:sz w:val="24"/>
          <w:szCs w:val="24"/>
          <w:lang w:val="es-MX"/>
        </w:rPr>
        <w:t>, limitando los derechos a los funcionarios de carrea Administrativa que a</w:t>
      </w:r>
      <w:r w:rsidR="00565A77" w:rsidRPr="009F76C1">
        <w:rPr>
          <w:rFonts w:ascii="Arial" w:hAnsi="Arial" w:cs="Arial"/>
          <w:sz w:val="24"/>
          <w:szCs w:val="24"/>
          <w:lang w:val="es-MX"/>
        </w:rPr>
        <w:t>l</w:t>
      </w:r>
      <w:r w:rsidR="003F2741" w:rsidRPr="009F76C1">
        <w:rPr>
          <w:rFonts w:ascii="Arial" w:hAnsi="Arial" w:cs="Arial"/>
          <w:sz w:val="24"/>
          <w:szCs w:val="24"/>
          <w:lang w:val="es-MX"/>
        </w:rPr>
        <w:t xml:space="preserve"> aprobar un concurso de méritos de ascenso, quedan en desventaja frente a los que aprobaron las pruebas de concurso abierto, ya que </w:t>
      </w:r>
      <w:r w:rsidR="00565A77" w:rsidRPr="009F76C1">
        <w:rPr>
          <w:rFonts w:ascii="Arial" w:hAnsi="Arial" w:cs="Arial"/>
          <w:sz w:val="24"/>
          <w:szCs w:val="24"/>
          <w:lang w:val="es-MX"/>
        </w:rPr>
        <w:t>los que se presentaron para concurso abierto</w:t>
      </w:r>
      <w:r>
        <w:rPr>
          <w:rFonts w:ascii="Arial" w:hAnsi="Arial" w:cs="Arial"/>
          <w:sz w:val="24"/>
          <w:szCs w:val="24"/>
          <w:lang w:val="es-MX"/>
        </w:rPr>
        <w:t xml:space="preserve"> pasan a conformar </w:t>
      </w:r>
      <w:r w:rsidR="003F2741" w:rsidRPr="009F76C1">
        <w:rPr>
          <w:rFonts w:ascii="Arial" w:hAnsi="Arial" w:cs="Arial"/>
          <w:sz w:val="24"/>
          <w:szCs w:val="24"/>
          <w:lang w:val="es-MX"/>
        </w:rPr>
        <w:t>lista</w:t>
      </w:r>
      <w:r>
        <w:rPr>
          <w:rFonts w:ascii="Arial" w:hAnsi="Arial" w:cs="Arial"/>
          <w:sz w:val="24"/>
          <w:szCs w:val="24"/>
          <w:lang w:val="es-MX"/>
        </w:rPr>
        <w:t>s</w:t>
      </w:r>
      <w:r w:rsidR="003F2741" w:rsidRPr="009F76C1">
        <w:rPr>
          <w:rFonts w:ascii="Arial" w:hAnsi="Arial" w:cs="Arial"/>
          <w:sz w:val="24"/>
          <w:szCs w:val="24"/>
          <w:lang w:val="es-MX"/>
        </w:rPr>
        <w:t xml:space="preserve"> de elegibles hasta que sean nombrados, mientras que la lista de elegibles de los concurso de ascenso, se declara agotada, es decir, vigente hasta la provisión efectiva del empleo; impidiendo que esta lista sea utilizada para la provisión de nuevas vacantes del mismo empleo o empleos equivalentes que surjan durante o con posterioridad al concurso de méritos para el que se presentó.</w:t>
      </w:r>
    </w:p>
    <w:p w:rsidR="003F2741" w:rsidRPr="009F76C1" w:rsidRDefault="003F2741" w:rsidP="003F2741">
      <w:pPr>
        <w:jc w:val="both"/>
        <w:rPr>
          <w:rFonts w:ascii="Arial" w:hAnsi="Arial" w:cs="Arial"/>
          <w:sz w:val="24"/>
          <w:szCs w:val="24"/>
          <w:lang w:val="es-MX"/>
        </w:rPr>
      </w:pPr>
      <w:r w:rsidRPr="009F76C1">
        <w:rPr>
          <w:rFonts w:ascii="Arial" w:hAnsi="Arial" w:cs="Arial"/>
          <w:sz w:val="24"/>
          <w:szCs w:val="24"/>
          <w:lang w:val="es-MX"/>
        </w:rPr>
        <w:lastRenderedPageBreak/>
        <w:t>Por lo tanto</w:t>
      </w:r>
      <w:r w:rsidR="00565A77" w:rsidRPr="009F76C1">
        <w:rPr>
          <w:rFonts w:ascii="Arial" w:hAnsi="Arial" w:cs="Arial"/>
          <w:sz w:val="24"/>
          <w:szCs w:val="24"/>
          <w:lang w:val="es-MX"/>
        </w:rPr>
        <w:t>,</w:t>
      </w:r>
      <w:r w:rsidRPr="009F76C1">
        <w:rPr>
          <w:rFonts w:ascii="Arial" w:hAnsi="Arial" w:cs="Arial"/>
          <w:sz w:val="24"/>
          <w:szCs w:val="24"/>
          <w:lang w:val="es-MX"/>
        </w:rPr>
        <w:t xml:space="preserve"> el mencionado </w:t>
      </w:r>
      <w:r w:rsidR="00565A77" w:rsidRPr="009F76C1">
        <w:rPr>
          <w:rFonts w:ascii="Arial" w:hAnsi="Arial" w:cs="Arial"/>
          <w:sz w:val="24"/>
          <w:szCs w:val="24"/>
          <w:lang w:val="es-MX"/>
        </w:rPr>
        <w:t>A</w:t>
      </w:r>
      <w:r w:rsidRPr="009F76C1">
        <w:rPr>
          <w:rFonts w:ascii="Arial" w:hAnsi="Arial" w:cs="Arial"/>
          <w:sz w:val="24"/>
          <w:szCs w:val="24"/>
          <w:lang w:val="es-MX"/>
        </w:rPr>
        <w:t xml:space="preserve">cuerdo, limita la posibilidad y le quita garantías a los servidores públicos con Derechos de Carrera Administrativa y que se presentaron para ascenso a ocupar cargos similares o equivalentes que no </w:t>
      </w:r>
      <w:r w:rsidR="00565A77" w:rsidRPr="009F76C1">
        <w:rPr>
          <w:rFonts w:ascii="Arial" w:hAnsi="Arial" w:cs="Arial"/>
          <w:sz w:val="24"/>
          <w:szCs w:val="24"/>
          <w:lang w:val="es-MX"/>
        </w:rPr>
        <w:t>hayan</w:t>
      </w:r>
      <w:r w:rsidRPr="009F76C1">
        <w:rPr>
          <w:rFonts w:ascii="Arial" w:hAnsi="Arial" w:cs="Arial"/>
          <w:sz w:val="24"/>
          <w:szCs w:val="24"/>
          <w:lang w:val="es-MX"/>
        </w:rPr>
        <w:t xml:space="preserve"> sido</w:t>
      </w:r>
      <w:r w:rsidR="00565A77" w:rsidRPr="009F76C1">
        <w:rPr>
          <w:rFonts w:ascii="Arial" w:hAnsi="Arial" w:cs="Arial"/>
          <w:sz w:val="24"/>
          <w:szCs w:val="24"/>
          <w:lang w:val="es-MX"/>
        </w:rPr>
        <w:t xml:space="preserve"> convocados o que surjan con posterioridad al concurso al que se presentó, ya sean cargos iguales o equivalentes, y es garantista para aquellos que no poseen derechos de carrera administrativa y se presentaron para concurso abierto, esto hace que se esté en detrimento de lo que promulga la CNSC en cuanto a los principios de Igualdad, Mérito y Oportunidad.</w:t>
      </w:r>
    </w:p>
    <w:p w:rsidR="009F76C1" w:rsidRDefault="009F76C1" w:rsidP="003F2741">
      <w:pPr>
        <w:jc w:val="both"/>
        <w:rPr>
          <w:rFonts w:ascii="Arial" w:hAnsi="Arial" w:cs="Arial"/>
          <w:sz w:val="24"/>
          <w:szCs w:val="24"/>
          <w:lang w:val="es-MX"/>
        </w:rPr>
      </w:pPr>
    </w:p>
    <w:p w:rsidR="003F2741" w:rsidRPr="00500A94" w:rsidRDefault="00565A77" w:rsidP="003F2741">
      <w:pPr>
        <w:jc w:val="both"/>
        <w:rPr>
          <w:rFonts w:ascii="Arial" w:hAnsi="Arial" w:cs="Arial"/>
          <w:b/>
          <w:sz w:val="24"/>
          <w:szCs w:val="24"/>
          <w:lang w:val="es-MX"/>
        </w:rPr>
      </w:pPr>
      <w:r w:rsidRPr="00500A94">
        <w:rPr>
          <w:rFonts w:ascii="Arial" w:hAnsi="Arial" w:cs="Arial"/>
          <w:b/>
          <w:sz w:val="24"/>
          <w:szCs w:val="24"/>
          <w:lang w:val="es-MX"/>
        </w:rPr>
        <w:t>PRETENCIONES:</w:t>
      </w:r>
    </w:p>
    <w:p w:rsidR="00565A77" w:rsidRPr="009F76C1" w:rsidRDefault="00565A77" w:rsidP="003F2741">
      <w:pPr>
        <w:jc w:val="both"/>
        <w:rPr>
          <w:rFonts w:ascii="Arial" w:hAnsi="Arial" w:cs="Arial"/>
          <w:sz w:val="24"/>
          <w:szCs w:val="24"/>
          <w:lang w:val="es-MX"/>
        </w:rPr>
      </w:pPr>
      <w:r w:rsidRPr="009F76C1">
        <w:rPr>
          <w:rFonts w:ascii="Arial" w:hAnsi="Arial" w:cs="Arial"/>
          <w:sz w:val="24"/>
          <w:szCs w:val="24"/>
          <w:lang w:val="es-MX"/>
        </w:rPr>
        <w:t xml:space="preserve">Modificar el Acuerdo 0165 del 12 de marzo de 2020 de la CNSC, de tal manera que se garanticen los principios de Igualdad, </w:t>
      </w:r>
      <w:r w:rsidR="000A1BC2" w:rsidRPr="009F76C1">
        <w:rPr>
          <w:rFonts w:ascii="Arial" w:hAnsi="Arial" w:cs="Arial"/>
          <w:sz w:val="24"/>
          <w:szCs w:val="24"/>
          <w:lang w:val="es-MX"/>
        </w:rPr>
        <w:t>mérito</w:t>
      </w:r>
      <w:r w:rsidRPr="009F76C1">
        <w:rPr>
          <w:rFonts w:ascii="Arial" w:hAnsi="Arial" w:cs="Arial"/>
          <w:sz w:val="24"/>
          <w:szCs w:val="24"/>
          <w:lang w:val="es-MX"/>
        </w:rPr>
        <w:t xml:space="preserve"> y oportunidad</w:t>
      </w:r>
      <w:r w:rsidR="000A1BC2" w:rsidRPr="009F76C1">
        <w:rPr>
          <w:rFonts w:ascii="Arial" w:hAnsi="Arial" w:cs="Arial"/>
          <w:sz w:val="24"/>
          <w:szCs w:val="24"/>
          <w:lang w:val="es-MX"/>
        </w:rPr>
        <w:t xml:space="preserve"> a los servidores públicos con derechos de carrera administrativa y que obt</w:t>
      </w:r>
      <w:r w:rsidR="009F76C1">
        <w:rPr>
          <w:rFonts w:ascii="Arial" w:hAnsi="Arial" w:cs="Arial"/>
          <w:sz w:val="24"/>
          <w:szCs w:val="24"/>
          <w:lang w:val="es-MX"/>
        </w:rPr>
        <w:t>iene</w:t>
      </w:r>
      <w:r w:rsidR="000A1BC2" w:rsidRPr="009F76C1">
        <w:rPr>
          <w:rFonts w:ascii="Arial" w:hAnsi="Arial" w:cs="Arial"/>
          <w:sz w:val="24"/>
          <w:szCs w:val="24"/>
          <w:lang w:val="es-MX"/>
        </w:rPr>
        <w:t xml:space="preserve"> el derecho a conformar una lista de elegibles, ya sea para mismo empleo o empleo equivalente</w:t>
      </w:r>
      <w:r w:rsidR="009F76C1">
        <w:rPr>
          <w:rFonts w:ascii="Arial" w:hAnsi="Arial" w:cs="Arial"/>
          <w:sz w:val="24"/>
          <w:szCs w:val="24"/>
          <w:lang w:val="es-MX"/>
        </w:rPr>
        <w:t>,</w:t>
      </w:r>
      <w:r w:rsidR="000A1BC2" w:rsidRPr="009F76C1">
        <w:rPr>
          <w:rFonts w:ascii="Arial" w:hAnsi="Arial" w:cs="Arial"/>
          <w:sz w:val="24"/>
          <w:szCs w:val="24"/>
          <w:lang w:val="es-MX"/>
        </w:rPr>
        <w:t xml:space="preserve"> nuevos o que surjan con posterioridad al concurso al cual se presentaron y a conformar esas listas en estricto orden de mérito tal y como los que se presentaron para concurso abierto tienen ese derecho</w:t>
      </w:r>
      <w:r w:rsidR="009F76C1">
        <w:rPr>
          <w:rFonts w:ascii="Arial" w:hAnsi="Arial" w:cs="Arial"/>
          <w:sz w:val="24"/>
          <w:szCs w:val="24"/>
          <w:lang w:val="es-MX"/>
        </w:rPr>
        <w:t>.</w:t>
      </w:r>
    </w:p>
    <w:p w:rsidR="00565A77" w:rsidRPr="00077C95" w:rsidRDefault="00D16857" w:rsidP="003F2741">
      <w:pPr>
        <w:jc w:val="both"/>
        <w:rPr>
          <w:rFonts w:ascii="Arial" w:hAnsi="Arial" w:cs="Arial"/>
          <w:b/>
          <w:sz w:val="24"/>
          <w:szCs w:val="24"/>
          <w:lang w:val="es-MX"/>
        </w:rPr>
      </w:pPr>
      <w:r w:rsidRPr="00077C95">
        <w:rPr>
          <w:rFonts w:ascii="Arial" w:hAnsi="Arial" w:cs="Arial"/>
          <w:b/>
          <w:sz w:val="24"/>
          <w:szCs w:val="24"/>
          <w:lang w:val="es-MX"/>
        </w:rPr>
        <w:t>Normas presuntamente violadas</w:t>
      </w:r>
      <w:r w:rsidR="00460553" w:rsidRPr="00077C95">
        <w:rPr>
          <w:rFonts w:ascii="Arial" w:hAnsi="Arial" w:cs="Arial"/>
          <w:b/>
          <w:sz w:val="24"/>
          <w:szCs w:val="24"/>
          <w:lang w:val="es-MX"/>
        </w:rPr>
        <w:t>:</w:t>
      </w:r>
    </w:p>
    <w:p w:rsidR="00460553" w:rsidRDefault="00460553" w:rsidP="00460553">
      <w:pPr>
        <w:jc w:val="both"/>
        <w:rPr>
          <w:rFonts w:ascii="Arial" w:hAnsi="Arial" w:cs="Arial"/>
          <w:sz w:val="24"/>
          <w:szCs w:val="24"/>
          <w:lang w:val="es-MX"/>
        </w:rPr>
      </w:pPr>
      <w:r w:rsidRPr="00460553">
        <w:rPr>
          <w:rFonts w:ascii="Arial" w:hAnsi="Arial" w:cs="Arial"/>
          <w:b/>
          <w:sz w:val="24"/>
          <w:szCs w:val="24"/>
          <w:lang w:val="es-MX"/>
        </w:rPr>
        <w:t>Constitución política de Colombia Articulo 209</w:t>
      </w:r>
      <w:r>
        <w:rPr>
          <w:rFonts w:ascii="Arial" w:hAnsi="Arial" w:cs="Arial"/>
          <w:sz w:val="24"/>
          <w:szCs w:val="24"/>
          <w:lang w:val="es-MX"/>
        </w:rPr>
        <w:t xml:space="preserve">: </w:t>
      </w:r>
      <w:r w:rsidRPr="00460553">
        <w:rPr>
          <w:rFonts w:ascii="Arial" w:hAnsi="Arial" w:cs="Arial"/>
          <w:sz w:val="24"/>
          <w:szCs w:val="24"/>
          <w:lang w:val="es-MX"/>
        </w:rPr>
        <w:t>“la función administrativa (…) se desarrolla con</w:t>
      </w:r>
      <w:r>
        <w:rPr>
          <w:rFonts w:ascii="Arial" w:hAnsi="Arial" w:cs="Arial"/>
          <w:sz w:val="24"/>
          <w:szCs w:val="24"/>
          <w:lang w:val="es-MX"/>
        </w:rPr>
        <w:t xml:space="preserve"> </w:t>
      </w:r>
      <w:r w:rsidRPr="00460553">
        <w:rPr>
          <w:rFonts w:ascii="Arial" w:hAnsi="Arial" w:cs="Arial"/>
          <w:sz w:val="24"/>
          <w:szCs w:val="24"/>
          <w:lang w:val="es-MX"/>
        </w:rPr>
        <w:t>fundamento en los principios de igualdad, moralidad, eficacia, economía, celeridad, imparcialidad y</w:t>
      </w:r>
      <w:r>
        <w:rPr>
          <w:rFonts w:ascii="Arial" w:hAnsi="Arial" w:cs="Arial"/>
          <w:sz w:val="24"/>
          <w:szCs w:val="24"/>
          <w:lang w:val="es-MX"/>
        </w:rPr>
        <w:t xml:space="preserve"> </w:t>
      </w:r>
      <w:r w:rsidRPr="00460553">
        <w:rPr>
          <w:rFonts w:ascii="Arial" w:hAnsi="Arial" w:cs="Arial"/>
          <w:sz w:val="24"/>
          <w:szCs w:val="24"/>
          <w:lang w:val="es-MX"/>
        </w:rPr>
        <w:t>publicidad (…)”</w:t>
      </w:r>
    </w:p>
    <w:p w:rsidR="00460553" w:rsidRDefault="00460553" w:rsidP="00460553">
      <w:pPr>
        <w:jc w:val="both"/>
        <w:rPr>
          <w:rFonts w:ascii="Arial" w:hAnsi="Arial" w:cs="Arial"/>
          <w:sz w:val="24"/>
          <w:szCs w:val="24"/>
          <w:lang w:val="es-MX"/>
        </w:rPr>
      </w:pPr>
      <w:r w:rsidRPr="00460553">
        <w:rPr>
          <w:rFonts w:ascii="Arial" w:hAnsi="Arial" w:cs="Arial"/>
          <w:b/>
          <w:sz w:val="24"/>
          <w:szCs w:val="24"/>
          <w:lang w:val="es-MX"/>
        </w:rPr>
        <w:t>A</w:t>
      </w:r>
      <w:r w:rsidRPr="00460553">
        <w:rPr>
          <w:rFonts w:ascii="Arial" w:hAnsi="Arial" w:cs="Arial"/>
          <w:b/>
          <w:sz w:val="24"/>
          <w:szCs w:val="24"/>
          <w:lang w:val="es-MX"/>
        </w:rPr>
        <w:t>rtículo 7 de la Ley 909 de 2004</w:t>
      </w:r>
      <w:r w:rsidRPr="00460553">
        <w:rPr>
          <w:rFonts w:ascii="Arial" w:hAnsi="Arial" w:cs="Arial"/>
          <w:sz w:val="24"/>
          <w:szCs w:val="24"/>
          <w:lang w:val="es-MX"/>
        </w:rPr>
        <w:t xml:space="preserve"> establece que la</w:t>
      </w:r>
      <w:r>
        <w:rPr>
          <w:rFonts w:ascii="Arial" w:hAnsi="Arial" w:cs="Arial"/>
          <w:sz w:val="24"/>
          <w:szCs w:val="24"/>
          <w:lang w:val="es-MX"/>
        </w:rPr>
        <w:t xml:space="preserve"> </w:t>
      </w:r>
      <w:r w:rsidRPr="00460553">
        <w:rPr>
          <w:rFonts w:ascii="Arial" w:hAnsi="Arial" w:cs="Arial"/>
          <w:sz w:val="24"/>
          <w:szCs w:val="24"/>
          <w:lang w:val="es-MX"/>
        </w:rPr>
        <w:t>Comisión Nacional del Servicio Civil, en adelante CNSC, “(…) es un órgano de garantía y protección</w:t>
      </w:r>
      <w:r>
        <w:rPr>
          <w:rFonts w:ascii="Arial" w:hAnsi="Arial" w:cs="Arial"/>
          <w:sz w:val="24"/>
          <w:szCs w:val="24"/>
          <w:lang w:val="es-MX"/>
        </w:rPr>
        <w:t xml:space="preserve"> </w:t>
      </w:r>
      <w:r w:rsidRPr="00460553">
        <w:rPr>
          <w:rFonts w:ascii="Arial" w:hAnsi="Arial" w:cs="Arial"/>
          <w:sz w:val="24"/>
          <w:szCs w:val="24"/>
          <w:lang w:val="es-MX"/>
        </w:rPr>
        <w:t>del sistema de mérito en el empleo público (…), de carácter permanente de nivel nacional,</w:t>
      </w:r>
      <w:r>
        <w:rPr>
          <w:rFonts w:ascii="Arial" w:hAnsi="Arial" w:cs="Arial"/>
          <w:sz w:val="24"/>
          <w:szCs w:val="24"/>
          <w:lang w:val="es-MX"/>
        </w:rPr>
        <w:t xml:space="preserve"> </w:t>
      </w:r>
      <w:r w:rsidRPr="00460553">
        <w:rPr>
          <w:rFonts w:ascii="Arial" w:hAnsi="Arial" w:cs="Arial"/>
          <w:sz w:val="24"/>
          <w:szCs w:val="24"/>
          <w:lang w:val="es-MX"/>
        </w:rPr>
        <w:t>independiente de las ramas y órganos del poder público, dotada de personería jurídica, autonomía</w:t>
      </w:r>
      <w:r>
        <w:rPr>
          <w:rFonts w:ascii="Arial" w:hAnsi="Arial" w:cs="Arial"/>
          <w:sz w:val="24"/>
          <w:szCs w:val="24"/>
          <w:lang w:val="es-MX"/>
        </w:rPr>
        <w:t xml:space="preserve"> </w:t>
      </w:r>
      <w:r w:rsidRPr="00460553">
        <w:rPr>
          <w:rFonts w:ascii="Arial" w:hAnsi="Arial" w:cs="Arial"/>
          <w:sz w:val="24"/>
          <w:szCs w:val="24"/>
          <w:lang w:val="es-MX"/>
        </w:rPr>
        <w:t>administrativa y patrimonio propio (…), [que] con el fin de garantizar la plena vigencia del principio de</w:t>
      </w:r>
      <w:r>
        <w:rPr>
          <w:rFonts w:ascii="Arial" w:hAnsi="Arial" w:cs="Arial"/>
          <w:sz w:val="24"/>
          <w:szCs w:val="24"/>
          <w:lang w:val="es-MX"/>
        </w:rPr>
        <w:t xml:space="preserve"> </w:t>
      </w:r>
      <w:r w:rsidRPr="00460553">
        <w:rPr>
          <w:rFonts w:ascii="Arial" w:hAnsi="Arial" w:cs="Arial"/>
          <w:sz w:val="24"/>
          <w:szCs w:val="24"/>
          <w:lang w:val="es-MX"/>
        </w:rPr>
        <w:t>mérito en el empleo público (…), (…) actuará de acuerdo con los principios de objetividad,</w:t>
      </w:r>
      <w:r>
        <w:rPr>
          <w:rFonts w:ascii="Arial" w:hAnsi="Arial" w:cs="Arial"/>
          <w:sz w:val="24"/>
          <w:szCs w:val="24"/>
          <w:lang w:val="es-MX"/>
        </w:rPr>
        <w:t xml:space="preserve"> </w:t>
      </w:r>
      <w:r w:rsidRPr="00460553">
        <w:rPr>
          <w:rFonts w:ascii="Arial" w:hAnsi="Arial" w:cs="Arial"/>
          <w:sz w:val="24"/>
          <w:szCs w:val="24"/>
          <w:lang w:val="es-MX"/>
        </w:rPr>
        <w:t>independencia e imparcialidad”.</w:t>
      </w:r>
      <w:r w:rsidRPr="00460553">
        <w:rPr>
          <w:rFonts w:ascii="Arial" w:hAnsi="Arial" w:cs="Arial"/>
          <w:sz w:val="24"/>
          <w:szCs w:val="24"/>
          <w:lang w:val="es-MX"/>
        </w:rPr>
        <w:cr/>
      </w:r>
    </w:p>
    <w:p w:rsidR="007C0401" w:rsidRPr="007C0401" w:rsidRDefault="00460553" w:rsidP="007C0401">
      <w:pPr>
        <w:jc w:val="both"/>
        <w:rPr>
          <w:rFonts w:ascii="Arial" w:hAnsi="Arial" w:cs="Arial"/>
          <w:sz w:val="24"/>
          <w:szCs w:val="24"/>
          <w:lang w:val="es-MX"/>
        </w:rPr>
      </w:pPr>
      <w:r w:rsidRPr="00077C95">
        <w:rPr>
          <w:rFonts w:ascii="Arial" w:hAnsi="Arial" w:cs="Arial"/>
          <w:b/>
          <w:sz w:val="24"/>
          <w:szCs w:val="24"/>
          <w:lang w:val="es-MX"/>
        </w:rPr>
        <w:t>Artículo 28 de la Ley 909 de 2004</w:t>
      </w:r>
      <w:r w:rsidRPr="00460553">
        <w:rPr>
          <w:rFonts w:ascii="Arial" w:hAnsi="Arial" w:cs="Arial"/>
          <w:sz w:val="24"/>
          <w:szCs w:val="24"/>
          <w:lang w:val="es-MX"/>
        </w:rPr>
        <w:t xml:space="preserve"> la ejecución de los procesos de selección para el ingreso</w:t>
      </w:r>
      <w:r>
        <w:rPr>
          <w:rFonts w:ascii="Arial" w:hAnsi="Arial" w:cs="Arial"/>
          <w:sz w:val="24"/>
          <w:szCs w:val="24"/>
          <w:lang w:val="es-MX"/>
        </w:rPr>
        <w:t xml:space="preserve"> </w:t>
      </w:r>
      <w:r w:rsidRPr="00460553">
        <w:rPr>
          <w:rFonts w:ascii="Arial" w:hAnsi="Arial" w:cs="Arial"/>
          <w:sz w:val="24"/>
          <w:szCs w:val="24"/>
          <w:lang w:val="es-MX"/>
        </w:rPr>
        <w:t>y ascenso a los empleos públicos de carrera administrativa, se realizará de acuerdo con los principios</w:t>
      </w:r>
      <w:r>
        <w:rPr>
          <w:rFonts w:ascii="Arial" w:hAnsi="Arial" w:cs="Arial"/>
          <w:sz w:val="24"/>
          <w:szCs w:val="24"/>
          <w:lang w:val="es-MX"/>
        </w:rPr>
        <w:t xml:space="preserve"> </w:t>
      </w:r>
      <w:r w:rsidRPr="00460553">
        <w:rPr>
          <w:rFonts w:ascii="Arial" w:hAnsi="Arial" w:cs="Arial"/>
          <w:sz w:val="24"/>
          <w:szCs w:val="24"/>
          <w:lang w:val="es-MX"/>
        </w:rPr>
        <w:t>de mérito, libre concurrencia e igualdad en el ingreso, publicidad, transparencia, especialización de los</w:t>
      </w:r>
      <w:r>
        <w:rPr>
          <w:rFonts w:ascii="Arial" w:hAnsi="Arial" w:cs="Arial"/>
          <w:sz w:val="24"/>
          <w:szCs w:val="24"/>
          <w:lang w:val="es-MX"/>
        </w:rPr>
        <w:t xml:space="preserve"> </w:t>
      </w:r>
      <w:r w:rsidR="007C0401" w:rsidRPr="007C0401">
        <w:rPr>
          <w:rFonts w:ascii="Arial" w:hAnsi="Arial" w:cs="Arial"/>
          <w:sz w:val="24"/>
          <w:szCs w:val="24"/>
          <w:lang w:val="es-MX"/>
        </w:rPr>
        <w:t>órganos técnicos encargados de ejecutar estos procesos, imparcialidad, confiabilidad y validez de los</w:t>
      </w:r>
      <w:r w:rsidR="007C0401">
        <w:rPr>
          <w:rFonts w:ascii="Arial" w:hAnsi="Arial" w:cs="Arial"/>
          <w:sz w:val="24"/>
          <w:szCs w:val="24"/>
          <w:lang w:val="es-MX"/>
        </w:rPr>
        <w:t xml:space="preserve"> </w:t>
      </w:r>
      <w:r w:rsidR="007C0401" w:rsidRPr="007C0401">
        <w:rPr>
          <w:rFonts w:ascii="Arial" w:hAnsi="Arial" w:cs="Arial"/>
          <w:sz w:val="24"/>
          <w:szCs w:val="24"/>
          <w:lang w:val="es-MX"/>
        </w:rPr>
        <w:t>instrumentos utilizados para verificar la capacidad y competencias de los aspirantes, eficacia y</w:t>
      </w:r>
      <w:r w:rsidR="007C0401">
        <w:rPr>
          <w:rFonts w:ascii="Arial" w:hAnsi="Arial" w:cs="Arial"/>
          <w:sz w:val="24"/>
          <w:szCs w:val="24"/>
          <w:lang w:val="es-MX"/>
        </w:rPr>
        <w:t xml:space="preserve"> </w:t>
      </w:r>
      <w:r w:rsidR="007C0401" w:rsidRPr="007C0401">
        <w:rPr>
          <w:rFonts w:ascii="Arial" w:hAnsi="Arial" w:cs="Arial"/>
          <w:sz w:val="24"/>
          <w:szCs w:val="24"/>
          <w:lang w:val="es-MX"/>
        </w:rPr>
        <w:t>eficiencia.</w:t>
      </w:r>
    </w:p>
    <w:p w:rsidR="007C0401" w:rsidRPr="007C0401" w:rsidRDefault="007C0401" w:rsidP="007C0401">
      <w:pPr>
        <w:jc w:val="both"/>
        <w:rPr>
          <w:rFonts w:ascii="Arial" w:hAnsi="Arial" w:cs="Arial"/>
          <w:sz w:val="24"/>
          <w:szCs w:val="24"/>
          <w:lang w:val="es-MX"/>
        </w:rPr>
      </w:pPr>
      <w:r w:rsidRPr="00077C95">
        <w:rPr>
          <w:rFonts w:ascii="Arial" w:hAnsi="Arial" w:cs="Arial"/>
          <w:b/>
          <w:sz w:val="24"/>
          <w:szCs w:val="24"/>
          <w:lang w:val="es-MX"/>
        </w:rPr>
        <w:t>A</w:t>
      </w:r>
      <w:r w:rsidRPr="00077C95">
        <w:rPr>
          <w:rFonts w:ascii="Arial" w:hAnsi="Arial" w:cs="Arial"/>
          <w:b/>
          <w:sz w:val="24"/>
          <w:szCs w:val="24"/>
          <w:lang w:val="es-MX"/>
        </w:rPr>
        <w:t>rtículo 29 de la referida norma</w:t>
      </w:r>
      <w:r w:rsidRPr="007C0401">
        <w:rPr>
          <w:rFonts w:ascii="Arial" w:hAnsi="Arial" w:cs="Arial"/>
          <w:sz w:val="24"/>
          <w:szCs w:val="24"/>
          <w:lang w:val="es-MX"/>
        </w:rPr>
        <w:t>, modificado por el artículo 2 de la Ley 1960 de 2019,</w:t>
      </w:r>
      <w:r>
        <w:rPr>
          <w:rFonts w:ascii="Arial" w:hAnsi="Arial" w:cs="Arial"/>
          <w:sz w:val="24"/>
          <w:szCs w:val="24"/>
          <w:lang w:val="es-MX"/>
        </w:rPr>
        <w:t xml:space="preserve"> </w:t>
      </w:r>
      <w:r w:rsidRPr="007C0401">
        <w:rPr>
          <w:rFonts w:ascii="Arial" w:hAnsi="Arial" w:cs="Arial"/>
          <w:sz w:val="24"/>
          <w:szCs w:val="24"/>
          <w:lang w:val="es-MX"/>
        </w:rPr>
        <w:t xml:space="preserve">determina que “la provisión definitiva de los empleos públicos de carrera </w:t>
      </w:r>
      <w:r w:rsidRPr="007C0401">
        <w:rPr>
          <w:rFonts w:ascii="Arial" w:hAnsi="Arial" w:cs="Arial"/>
          <w:sz w:val="24"/>
          <w:szCs w:val="24"/>
          <w:lang w:val="es-MX"/>
        </w:rPr>
        <w:lastRenderedPageBreak/>
        <w:t>administrativa se hará</w:t>
      </w:r>
      <w:r>
        <w:rPr>
          <w:rFonts w:ascii="Arial" w:hAnsi="Arial" w:cs="Arial"/>
          <w:sz w:val="24"/>
          <w:szCs w:val="24"/>
          <w:lang w:val="es-MX"/>
        </w:rPr>
        <w:t xml:space="preserve"> </w:t>
      </w:r>
      <w:r w:rsidRPr="007C0401">
        <w:rPr>
          <w:rFonts w:ascii="Arial" w:hAnsi="Arial" w:cs="Arial"/>
          <w:sz w:val="24"/>
          <w:szCs w:val="24"/>
          <w:lang w:val="es-MX"/>
        </w:rPr>
        <w:t>mediante procesos de selección abiertos y de ascenso (…)”, precisando que el de ascenso “(…) tiene</w:t>
      </w:r>
      <w:r>
        <w:rPr>
          <w:rFonts w:ascii="Arial" w:hAnsi="Arial" w:cs="Arial"/>
          <w:sz w:val="24"/>
          <w:szCs w:val="24"/>
          <w:lang w:val="es-MX"/>
        </w:rPr>
        <w:t xml:space="preserve"> </w:t>
      </w:r>
      <w:r w:rsidRPr="007C0401">
        <w:rPr>
          <w:rFonts w:ascii="Arial" w:hAnsi="Arial" w:cs="Arial"/>
          <w:sz w:val="24"/>
          <w:szCs w:val="24"/>
          <w:lang w:val="es-MX"/>
        </w:rPr>
        <w:t>como finalidad permitir la movilidad a un cargo superior dentro de la planta de personal de la misma</w:t>
      </w:r>
      <w:r>
        <w:rPr>
          <w:rFonts w:ascii="Arial" w:hAnsi="Arial" w:cs="Arial"/>
          <w:sz w:val="24"/>
          <w:szCs w:val="24"/>
          <w:lang w:val="es-MX"/>
        </w:rPr>
        <w:t xml:space="preserve"> </w:t>
      </w:r>
      <w:r w:rsidRPr="007C0401">
        <w:rPr>
          <w:rFonts w:ascii="Arial" w:hAnsi="Arial" w:cs="Arial"/>
          <w:sz w:val="24"/>
          <w:szCs w:val="24"/>
          <w:lang w:val="es-MX"/>
        </w:rPr>
        <w:t>entidad, del mismo sector administrativo o dentro del cuadro funcional de empleos”.</w:t>
      </w:r>
    </w:p>
    <w:p w:rsidR="007C0401" w:rsidRPr="007C0401" w:rsidRDefault="007C0401" w:rsidP="007C0401">
      <w:pPr>
        <w:jc w:val="both"/>
        <w:rPr>
          <w:rFonts w:ascii="Arial" w:hAnsi="Arial" w:cs="Arial"/>
          <w:sz w:val="24"/>
          <w:szCs w:val="24"/>
          <w:lang w:val="es-MX"/>
        </w:rPr>
      </w:pPr>
      <w:r w:rsidRPr="00077C95">
        <w:rPr>
          <w:rFonts w:ascii="Arial" w:hAnsi="Arial" w:cs="Arial"/>
          <w:b/>
          <w:sz w:val="24"/>
          <w:szCs w:val="24"/>
          <w:lang w:val="es-MX"/>
        </w:rPr>
        <w:t>Complementariamente, el artículo 31 de la Ley 909 de 2004</w:t>
      </w:r>
      <w:r w:rsidRPr="007C0401">
        <w:rPr>
          <w:rFonts w:ascii="Arial" w:hAnsi="Arial" w:cs="Arial"/>
          <w:sz w:val="24"/>
          <w:szCs w:val="24"/>
          <w:lang w:val="es-MX"/>
        </w:rPr>
        <w:t>, estableció que las etapas de estos</w:t>
      </w:r>
      <w:r>
        <w:rPr>
          <w:rFonts w:ascii="Arial" w:hAnsi="Arial" w:cs="Arial"/>
          <w:sz w:val="24"/>
          <w:szCs w:val="24"/>
          <w:lang w:val="es-MX"/>
        </w:rPr>
        <w:t xml:space="preserve"> </w:t>
      </w:r>
      <w:r w:rsidRPr="007C0401">
        <w:rPr>
          <w:rFonts w:ascii="Arial" w:hAnsi="Arial" w:cs="Arial"/>
          <w:sz w:val="24"/>
          <w:szCs w:val="24"/>
          <w:lang w:val="es-MX"/>
        </w:rPr>
        <w:t xml:space="preserve">procesos de selección son la Convocatoria, el Reclutamiento, </w:t>
      </w:r>
      <w:r w:rsidRPr="007C0401">
        <w:rPr>
          <w:rFonts w:ascii="Arial" w:hAnsi="Arial" w:cs="Arial"/>
          <w:sz w:val="24"/>
          <w:szCs w:val="24"/>
          <w:lang w:val="es-MX"/>
        </w:rPr>
        <w:t xml:space="preserve">las </w:t>
      </w:r>
      <w:r>
        <w:rPr>
          <w:rFonts w:ascii="Arial" w:hAnsi="Arial" w:cs="Arial"/>
          <w:sz w:val="24"/>
          <w:szCs w:val="24"/>
          <w:lang w:val="es-MX"/>
        </w:rPr>
        <w:t>Pruebas</w:t>
      </w:r>
      <w:r w:rsidRPr="007C0401">
        <w:rPr>
          <w:rFonts w:ascii="Arial" w:hAnsi="Arial" w:cs="Arial"/>
          <w:sz w:val="24"/>
          <w:szCs w:val="24"/>
          <w:lang w:val="es-MX"/>
        </w:rPr>
        <w:t>, las Listas de Elegibles y el</w:t>
      </w:r>
      <w:r>
        <w:rPr>
          <w:rFonts w:ascii="Arial" w:hAnsi="Arial" w:cs="Arial"/>
          <w:sz w:val="24"/>
          <w:szCs w:val="24"/>
          <w:lang w:val="es-MX"/>
        </w:rPr>
        <w:t xml:space="preserve"> </w:t>
      </w:r>
      <w:r w:rsidRPr="007C0401">
        <w:rPr>
          <w:rFonts w:ascii="Arial" w:hAnsi="Arial" w:cs="Arial"/>
          <w:sz w:val="24"/>
          <w:szCs w:val="24"/>
          <w:lang w:val="es-MX"/>
        </w:rPr>
        <w:t>Período de Prueba, señalando en su numeral 1 que la Convocatoria “(…) es norma reguladora de todo</w:t>
      </w:r>
      <w:r>
        <w:rPr>
          <w:rFonts w:ascii="Arial" w:hAnsi="Arial" w:cs="Arial"/>
          <w:sz w:val="24"/>
          <w:szCs w:val="24"/>
          <w:lang w:val="es-MX"/>
        </w:rPr>
        <w:t xml:space="preserve"> </w:t>
      </w:r>
      <w:r w:rsidRPr="007C0401">
        <w:rPr>
          <w:rFonts w:ascii="Arial" w:hAnsi="Arial" w:cs="Arial"/>
          <w:sz w:val="24"/>
          <w:szCs w:val="24"/>
          <w:lang w:val="es-MX"/>
        </w:rPr>
        <w:t>concurso y obliga tanto a la administración, como a las entidades contratadas para la realización del</w:t>
      </w:r>
      <w:r>
        <w:rPr>
          <w:rFonts w:ascii="Arial" w:hAnsi="Arial" w:cs="Arial"/>
          <w:sz w:val="24"/>
          <w:szCs w:val="24"/>
          <w:lang w:val="es-MX"/>
        </w:rPr>
        <w:t xml:space="preserve"> </w:t>
      </w:r>
      <w:r w:rsidRPr="007C0401">
        <w:rPr>
          <w:rFonts w:ascii="Arial" w:hAnsi="Arial" w:cs="Arial"/>
          <w:sz w:val="24"/>
          <w:szCs w:val="24"/>
          <w:lang w:val="es-MX"/>
        </w:rPr>
        <w:t>concurso y a los participantes”.</w:t>
      </w:r>
    </w:p>
    <w:p w:rsidR="007C0401" w:rsidRPr="007C0401" w:rsidRDefault="007C0401" w:rsidP="007C0401">
      <w:pPr>
        <w:jc w:val="both"/>
        <w:rPr>
          <w:rFonts w:ascii="Arial" w:hAnsi="Arial" w:cs="Arial"/>
          <w:sz w:val="24"/>
          <w:szCs w:val="24"/>
          <w:lang w:val="es-MX"/>
        </w:rPr>
      </w:pPr>
      <w:r w:rsidRPr="00077C95">
        <w:rPr>
          <w:rFonts w:ascii="Arial" w:hAnsi="Arial" w:cs="Arial"/>
          <w:b/>
          <w:sz w:val="24"/>
          <w:szCs w:val="24"/>
          <w:lang w:val="es-MX"/>
        </w:rPr>
        <w:t xml:space="preserve">Además, el numeral 4 del artículo </w:t>
      </w:r>
      <w:proofErr w:type="spellStart"/>
      <w:r w:rsidRPr="00077C95">
        <w:rPr>
          <w:rFonts w:ascii="Arial" w:hAnsi="Arial" w:cs="Arial"/>
          <w:b/>
          <w:sz w:val="24"/>
          <w:szCs w:val="24"/>
          <w:lang w:val="es-MX"/>
        </w:rPr>
        <w:t>ibídem</w:t>
      </w:r>
      <w:proofErr w:type="spellEnd"/>
      <w:r w:rsidRPr="007C0401">
        <w:rPr>
          <w:rFonts w:ascii="Arial" w:hAnsi="Arial" w:cs="Arial"/>
          <w:sz w:val="24"/>
          <w:szCs w:val="24"/>
          <w:lang w:val="es-MX"/>
        </w:rPr>
        <w:t>, modificado por el artículo 6 de la Ley 1960 de 2019, ordena</w:t>
      </w:r>
      <w:r>
        <w:rPr>
          <w:rFonts w:ascii="Arial" w:hAnsi="Arial" w:cs="Arial"/>
          <w:sz w:val="24"/>
          <w:szCs w:val="24"/>
          <w:lang w:val="es-MX"/>
        </w:rPr>
        <w:t xml:space="preserve"> </w:t>
      </w:r>
      <w:r w:rsidRPr="007C0401">
        <w:rPr>
          <w:rFonts w:ascii="Arial" w:hAnsi="Arial" w:cs="Arial"/>
          <w:sz w:val="24"/>
          <w:szCs w:val="24"/>
          <w:lang w:val="es-MX"/>
        </w:rPr>
        <w:t>que</w:t>
      </w:r>
    </w:p>
    <w:p w:rsidR="00460553" w:rsidRDefault="007C0401" w:rsidP="007C0401">
      <w:pPr>
        <w:jc w:val="both"/>
        <w:rPr>
          <w:rFonts w:ascii="Arial" w:hAnsi="Arial" w:cs="Arial"/>
          <w:sz w:val="24"/>
          <w:szCs w:val="24"/>
          <w:lang w:val="es-MX"/>
        </w:rPr>
      </w:pPr>
      <w:r w:rsidRPr="00077C95">
        <w:rPr>
          <w:rFonts w:ascii="Arial" w:hAnsi="Arial" w:cs="Arial"/>
          <w:b/>
          <w:sz w:val="24"/>
          <w:szCs w:val="24"/>
          <w:lang w:val="es-MX"/>
        </w:rPr>
        <w:t>4</w:t>
      </w:r>
      <w:r w:rsidRPr="007C0401">
        <w:rPr>
          <w:rFonts w:ascii="Arial" w:hAnsi="Arial" w:cs="Arial"/>
          <w:sz w:val="24"/>
          <w:szCs w:val="24"/>
          <w:lang w:val="es-MX"/>
        </w:rPr>
        <w:t>. Con los resultad</w:t>
      </w:r>
      <w:bookmarkStart w:id="0" w:name="_GoBack"/>
      <w:bookmarkEnd w:id="0"/>
      <w:r w:rsidRPr="007C0401">
        <w:rPr>
          <w:rFonts w:ascii="Arial" w:hAnsi="Arial" w:cs="Arial"/>
          <w:sz w:val="24"/>
          <w:szCs w:val="24"/>
          <w:lang w:val="es-MX"/>
        </w:rPr>
        <w:t>os de las pruebas la Comisión Nacional del Servicio Civil o la entidad contratada, por</w:t>
      </w:r>
      <w:r>
        <w:rPr>
          <w:rFonts w:ascii="Arial" w:hAnsi="Arial" w:cs="Arial"/>
          <w:sz w:val="24"/>
          <w:szCs w:val="24"/>
          <w:lang w:val="es-MX"/>
        </w:rPr>
        <w:t xml:space="preserve"> </w:t>
      </w:r>
      <w:r w:rsidRPr="007C0401">
        <w:rPr>
          <w:rFonts w:ascii="Arial" w:hAnsi="Arial" w:cs="Arial"/>
          <w:sz w:val="24"/>
          <w:szCs w:val="24"/>
          <w:lang w:val="es-MX"/>
        </w:rPr>
        <w:t>delegación de aquella, elaborará en estricto orden de mérito la lista de elegibles que tendrá una vigencia</w:t>
      </w:r>
      <w:r>
        <w:rPr>
          <w:rFonts w:ascii="Arial" w:hAnsi="Arial" w:cs="Arial"/>
          <w:sz w:val="24"/>
          <w:szCs w:val="24"/>
          <w:lang w:val="es-MX"/>
        </w:rPr>
        <w:t xml:space="preserve"> </w:t>
      </w:r>
      <w:r w:rsidRPr="007C0401">
        <w:rPr>
          <w:rFonts w:ascii="Arial" w:hAnsi="Arial" w:cs="Arial"/>
          <w:sz w:val="24"/>
          <w:szCs w:val="24"/>
          <w:lang w:val="es-MX"/>
        </w:rPr>
        <w:t>de dos (2) años. Con esta y en estricto orden de mérito se cubrirán las vacantes para las cuales se efectuó</w:t>
      </w:r>
      <w:r>
        <w:rPr>
          <w:rFonts w:ascii="Arial" w:hAnsi="Arial" w:cs="Arial"/>
          <w:sz w:val="24"/>
          <w:szCs w:val="24"/>
          <w:lang w:val="es-MX"/>
        </w:rPr>
        <w:t xml:space="preserve"> </w:t>
      </w:r>
      <w:r w:rsidRPr="007C0401">
        <w:rPr>
          <w:rFonts w:ascii="Arial" w:hAnsi="Arial" w:cs="Arial"/>
          <w:sz w:val="24"/>
          <w:szCs w:val="24"/>
          <w:lang w:val="es-MX"/>
        </w:rPr>
        <w:t>el concurso y las vacantes definitivas de cargos equivalentes no convocados, que surjan con posterioridad</w:t>
      </w:r>
      <w:r>
        <w:rPr>
          <w:rFonts w:ascii="Arial" w:hAnsi="Arial" w:cs="Arial"/>
          <w:sz w:val="24"/>
          <w:szCs w:val="24"/>
          <w:lang w:val="es-MX"/>
        </w:rPr>
        <w:t xml:space="preserve"> </w:t>
      </w:r>
      <w:r w:rsidRPr="007C0401">
        <w:rPr>
          <w:rFonts w:ascii="Arial" w:hAnsi="Arial" w:cs="Arial"/>
          <w:sz w:val="24"/>
          <w:szCs w:val="24"/>
          <w:lang w:val="es-MX"/>
        </w:rPr>
        <w:t>a la convocatoria del concurso en la misma entidad.</w:t>
      </w:r>
      <w:r w:rsidRPr="007C0401">
        <w:rPr>
          <w:rFonts w:ascii="Arial" w:hAnsi="Arial" w:cs="Arial"/>
          <w:sz w:val="24"/>
          <w:szCs w:val="24"/>
          <w:lang w:val="es-MX"/>
        </w:rPr>
        <w:cr/>
      </w:r>
    </w:p>
    <w:p w:rsidR="00460553" w:rsidRPr="009F76C1" w:rsidRDefault="00460553" w:rsidP="00460553">
      <w:pPr>
        <w:jc w:val="both"/>
        <w:rPr>
          <w:rFonts w:ascii="Arial" w:hAnsi="Arial" w:cs="Arial"/>
          <w:sz w:val="24"/>
          <w:szCs w:val="24"/>
          <w:lang w:val="es-MX"/>
        </w:rPr>
      </w:pPr>
    </w:p>
    <w:p w:rsidR="003F2741" w:rsidRPr="009F76C1" w:rsidRDefault="009F76C1" w:rsidP="009F76C1">
      <w:pPr>
        <w:spacing w:after="0"/>
        <w:jc w:val="both"/>
        <w:rPr>
          <w:rFonts w:ascii="Arial" w:hAnsi="Arial" w:cs="Arial"/>
          <w:b/>
          <w:sz w:val="24"/>
          <w:szCs w:val="24"/>
          <w:lang w:val="es-MX"/>
        </w:rPr>
      </w:pPr>
      <w:r w:rsidRPr="009F76C1">
        <w:rPr>
          <w:rFonts w:ascii="Arial" w:hAnsi="Arial" w:cs="Arial"/>
          <w:b/>
          <w:sz w:val="24"/>
          <w:szCs w:val="24"/>
          <w:lang w:val="es-MX"/>
        </w:rPr>
        <w:t>Wilson Cardona Álvarez</w:t>
      </w:r>
    </w:p>
    <w:p w:rsidR="009F76C1" w:rsidRPr="009F76C1" w:rsidRDefault="009F76C1" w:rsidP="009F76C1">
      <w:pPr>
        <w:spacing w:after="0"/>
        <w:jc w:val="both"/>
        <w:rPr>
          <w:rFonts w:ascii="Arial" w:hAnsi="Arial" w:cs="Arial"/>
          <w:b/>
          <w:sz w:val="24"/>
          <w:szCs w:val="24"/>
          <w:lang w:val="es-MX"/>
        </w:rPr>
      </w:pPr>
      <w:r w:rsidRPr="009F76C1">
        <w:rPr>
          <w:rFonts w:ascii="Arial" w:hAnsi="Arial" w:cs="Arial"/>
          <w:b/>
          <w:sz w:val="24"/>
          <w:szCs w:val="24"/>
          <w:lang w:val="es-MX"/>
        </w:rPr>
        <w:t>C.C 71.396505</w:t>
      </w:r>
    </w:p>
    <w:sectPr w:rsidR="009F76C1" w:rsidRPr="009F76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741"/>
    <w:rsid w:val="00077C95"/>
    <w:rsid w:val="000A1BC2"/>
    <w:rsid w:val="0017257C"/>
    <w:rsid w:val="00193EA0"/>
    <w:rsid w:val="001A5BC1"/>
    <w:rsid w:val="001F64BD"/>
    <w:rsid w:val="00222ED8"/>
    <w:rsid w:val="003F2741"/>
    <w:rsid w:val="00460553"/>
    <w:rsid w:val="00500A94"/>
    <w:rsid w:val="00565A77"/>
    <w:rsid w:val="006D368A"/>
    <w:rsid w:val="007C0401"/>
    <w:rsid w:val="007C2DD8"/>
    <w:rsid w:val="008A6776"/>
    <w:rsid w:val="0094115F"/>
    <w:rsid w:val="009F76C1"/>
    <w:rsid w:val="00A41D48"/>
    <w:rsid w:val="00B9646B"/>
    <w:rsid w:val="00CB5812"/>
    <w:rsid w:val="00D16857"/>
    <w:rsid w:val="00DA613F"/>
    <w:rsid w:val="00DD6267"/>
    <w:rsid w:val="00EA2261"/>
    <w:rsid w:val="00EF245E"/>
    <w:rsid w:val="00F16F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DE4D9"/>
  <w15:chartTrackingRefBased/>
  <w15:docId w15:val="{B3B8856B-91E0-465F-A0BC-FDB46257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A1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4</Pages>
  <Words>1278</Words>
  <Characters>7035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CORNARE</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Cardona</dc:creator>
  <cp:keywords/>
  <dc:description/>
  <cp:lastModifiedBy>Wilson Cardona</cp:lastModifiedBy>
  <cp:revision>6</cp:revision>
  <dcterms:created xsi:type="dcterms:W3CDTF">2022-02-21T18:43:00Z</dcterms:created>
  <dcterms:modified xsi:type="dcterms:W3CDTF">2022-02-21T21:47:00Z</dcterms:modified>
</cp:coreProperties>
</file>